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1485" w14:textId="73A19C48" w:rsidR="00BF5F3C" w:rsidRPr="00BB403A" w:rsidRDefault="00BF5F3C" w:rsidP="00BB403A">
      <w:pPr>
        <w:jc w:val="center"/>
        <w:rPr>
          <w:b/>
          <w:bCs/>
          <w:sz w:val="22"/>
          <w:szCs w:val="22"/>
        </w:rPr>
      </w:pPr>
      <w:r w:rsidRPr="00BB403A">
        <w:rPr>
          <w:b/>
          <w:bCs/>
          <w:sz w:val="22"/>
          <w:szCs w:val="22"/>
        </w:rPr>
        <w:t>Klauzula informacyjna</w:t>
      </w:r>
      <w:r w:rsidR="00BB403A">
        <w:rPr>
          <w:b/>
          <w:bCs/>
          <w:sz w:val="22"/>
          <w:szCs w:val="22"/>
        </w:rPr>
        <w:br/>
      </w:r>
      <w:r w:rsidRPr="00BB403A">
        <w:rPr>
          <w:b/>
          <w:bCs/>
          <w:sz w:val="22"/>
          <w:szCs w:val="22"/>
        </w:rPr>
        <w:t xml:space="preserve">przetwarzaniu danych osobowych klientów (osoby fizyczne), </w:t>
      </w:r>
      <w:r w:rsidR="00BB403A" w:rsidRPr="00BB403A">
        <w:rPr>
          <w:b/>
          <w:bCs/>
          <w:sz w:val="22"/>
          <w:szCs w:val="22"/>
        </w:rPr>
        <w:t xml:space="preserve">starających się </w:t>
      </w:r>
      <w:r w:rsidR="00BB403A">
        <w:rPr>
          <w:b/>
          <w:bCs/>
          <w:sz w:val="22"/>
          <w:szCs w:val="22"/>
        </w:rPr>
        <w:br/>
      </w:r>
      <w:r w:rsidR="00BB403A" w:rsidRPr="00BB403A">
        <w:rPr>
          <w:b/>
          <w:bCs/>
          <w:sz w:val="22"/>
          <w:szCs w:val="22"/>
        </w:rPr>
        <w:t xml:space="preserve">o kredyt kupiecki </w:t>
      </w:r>
    </w:p>
    <w:p w14:paraId="72330A5A" w14:textId="79BFEFFC" w:rsidR="00BF5F3C" w:rsidRPr="00BB403A" w:rsidRDefault="00BF5F3C" w:rsidP="00C80515">
      <w:pPr>
        <w:jc w:val="both"/>
        <w:rPr>
          <w:sz w:val="22"/>
          <w:szCs w:val="22"/>
        </w:rPr>
      </w:pPr>
      <w:r w:rsidRPr="00BB403A">
        <w:rPr>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(dalej jako RODO), informuje</w:t>
      </w:r>
      <w:r w:rsidR="00BB403A" w:rsidRPr="00BB403A">
        <w:rPr>
          <w:sz w:val="22"/>
          <w:szCs w:val="22"/>
        </w:rPr>
        <w:t>my</w:t>
      </w:r>
      <w:r w:rsidRPr="00BB403A">
        <w:rPr>
          <w:sz w:val="22"/>
          <w:szCs w:val="22"/>
        </w:rPr>
        <w:t xml:space="preserve">, iż: </w:t>
      </w:r>
    </w:p>
    <w:p w14:paraId="073B4B04" w14:textId="77777777" w:rsidR="00BB403A" w:rsidRDefault="00BB403A" w:rsidP="00BB403A">
      <w:pPr>
        <w:numPr>
          <w:ilvl w:val="0"/>
          <w:numId w:val="3"/>
        </w:numPr>
        <w:spacing w:before="100" w:beforeAutospacing="1" w:after="100" w:afterAutospacing="1" w:line="240" w:lineRule="auto"/>
        <w:ind w:left="426" w:hanging="284"/>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 xml:space="preserve">Administratorem Pani/Pana danych osobowych jest CENTROZŁOM WROCŁAW S.A., NIP 896-000-17-12, adres: ul. Robotnicza 16, 53-608 Wrocław, e-mail: centrala@centrozlom.com.pl, tel.: 71 356 66 66. </w:t>
      </w:r>
    </w:p>
    <w:p w14:paraId="0BCB9294" w14:textId="498ED2D6" w:rsidR="00BB403A" w:rsidRDefault="00BB403A" w:rsidP="00BB403A">
      <w:pPr>
        <w:numPr>
          <w:ilvl w:val="0"/>
          <w:numId w:val="3"/>
        </w:numPr>
        <w:spacing w:before="100" w:beforeAutospacing="1" w:after="100" w:afterAutospacing="1" w:line="240" w:lineRule="auto"/>
        <w:ind w:left="426" w:hanging="284"/>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 xml:space="preserve">Administrator wyznaczył Inspektora Ochrony Danych, z którym można skontaktować się pod adresem e-mail: iod@centrozlom.com.pl lub listownie na adres siedziby Administratora, w sprawach przetwarzania danych osobowych oraz realizacji przysługujących Pani/Panu praw. </w:t>
      </w:r>
    </w:p>
    <w:p w14:paraId="4900629E" w14:textId="77777777" w:rsidR="00BB403A" w:rsidRDefault="00BB403A" w:rsidP="00BB403A">
      <w:pPr>
        <w:numPr>
          <w:ilvl w:val="0"/>
          <w:numId w:val="3"/>
        </w:numPr>
        <w:spacing w:before="100" w:beforeAutospacing="1" w:after="100" w:afterAutospacing="1" w:line="240" w:lineRule="auto"/>
        <w:ind w:left="426" w:hanging="284"/>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Będziemy przetwarzać Pani/Pana dane osobowe w celu:</w:t>
      </w:r>
    </w:p>
    <w:p w14:paraId="5E649333" w14:textId="77777777" w:rsidR="00BB403A" w:rsidRDefault="00BB403A" w:rsidP="00BB403A">
      <w:pPr>
        <w:pStyle w:val="Akapitzlist"/>
        <w:numPr>
          <w:ilvl w:val="1"/>
          <w:numId w:val="3"/>
        </w:numPr>
        <w:spacing w:before="100" w:beforeAutospacing="1" w:after="100" w:afterAutospacing="1" w:line="240" w:lineRule="auto"/>
        <w:ind w:left="709" w:hanging="283"/>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podjęcia działań zmierzających do zawarcia umowy sprzedaży z odroczonym terminem płatności oraz jej zawarcia i realizacji – na podstawie art. 6 ust. 1 lit. b RODO (działania przed zawarciem umowy oraz wykonanie umowy);</w:t>
      </w:r>
    </w:p>
    <w:p w14:paraId="664E2D23" w14:textId="77777777" w:rsidR="00BB403A" w:rsidRDefault="00BB403A" w:rsidP="00BB403A">
      <w:pPr>
        <w:pStyle w:val="Akapitzlist"/>
        <w:numPr>
          <w:ilvl w:val="1"/>
          <w:numId w:val="3"/>
        </w:numPr>
        <w:spacing w:before="100" w:beforeAutospacing="1" w:after="100" w:afterAutospacing="1" w:line="240" w:lineRule="auto"/>
        <w:ind w:left="709" w:hanging="283"/>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oceny możliwości udzielenia kredytu kupieckiego, w tym zebrania informacji i podjęcia decyzji o możliwości odroczenia płatności za zakupione towary – na podstawie art. 6 ust. 1 lit. f RODO (</w:t>
      </w:r>
      <w:r w:rsidRPr="00BB403A">
        <w:rPr>
          <w:rFonts w:eastAsia="Times New Roman" w:cs="Times New Roman"/>
          <w:b/>
          <w:bCs/>
          <w:kern w:val="0"/>
          <w:sz w:val="22"/>
          <w:szCs w:val="22"/>
          <w:lang w:eastAsia="pl-PL"/>
          <w14:ligatures w14:val="none"/>
        </w:rPr>
        <w:t>prawnie uzasadniony interes Administratora polegający na ocenie ryzyka transakcyjnego i płatniczego</w:t>
      </w:r>
      <w:r w:rsidRPr="00BB403A">
        <w:rPr>
          <w:rFonts w:eastAsia="Times New Roman" w:cs="Times New Roman"/>
          <w:kern w:val="0"/>
          <w:sz w:val="22"/>
          <w:szCs w:val="22"/>
          <w:lang w:eastAsia="pl-PL"/>
          <w14:ligatures w14:val="none"/>
        </w:rPr>
        <w:t>);</w:t>
      </w:r>
    </w:p>
    <w:p w14:paraId="1BC2F103" w14:textId="613C6DD3" w:rsidR="00BB403A" w:rsidRPr="00BB403A" w:rsidRDefault="00BB403A" w:rsidP="00BB403A">
      <w:pPr>
        <w:pStyle w:val="Akapitzlist"/>
        <w:numPr>
          <w:ilvl w:val="1"/>
          <w:numId w:val="3"/>
        </w:numPr>
        <w:spacing w:before="100" w:beforeAutospacing="1" w:after="100" w:afterAutospacing="1" w:line="240" w:lineRule="auto"/>
        <w:ind w:left="709" w:hanging="283"/>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weryfikacji kontrahentów w celu oceny ich wiarygodności, w tym wiarygodności płatniczej oraz spełniania ustalonych kryteriów i wymagań zgodnie z Polityką weryfikacji kontrahentów i udzielania kredytu kupieckiego – na podstawie art. 6 ust. 1 lit. f RODO (</w:t>
      </w:r>
      <w:r w:rsidRPr="00BB403A">
        <w:rPr>
          <w:rFonts w:eastAsia="Times New Roman" w:cs="Times New Roman"/>
          <w:b/>
          <w:bCs/>
          <w:kern w:val="0"/>
          <w:sz w:val="22"/>
          <w:szCs w:val="22"/>
          <w:lang w:eastAsia="pl-PL"/>
          <w14:ligatures w14:val="none"/>
        </w:rPr>
        <w:t>prawnie uzasadniony interes Administratora polegający na ograniczaniu ryzyka gospodarczego oraz ochronie interesów majątkowych Spółki</w:t>
      </w:r>
      <w:r w:rsidRPr="00BB403A">
        <w:rPr>
          <w:rFonts w:eastAsia="Times New Roman" w:cs="Times New Roman"/>
          <w:kern w:val="0"/>
          <w:sz w:val="22"/>
          <w:szCs w:val="22"/>
          <w:lang w:eastAsia="pl-PL"/>
          <w14:ligatures w14:val="none"/>
        </w:rPr>
        <w:t xml:space="preserve">). </w:t>
      </w:r>
    </w:p>
    <w:p w14:paraId="20A4D13D" w14:textId="0957B12A" w:rsidR="00BB403A" w:rsidRPr="00BB403A" w:rsidRDefault="00BB403A" w:rsidP="00BB403A">
      <w:pPr>
        <w:numPr>
          <w:ilvl w:val="0"/>
          <w:numId w:val="3"/>
        </w:numPr>
        <w:spacing w:before="100" w:beforeAutospacing="1" w:after="100" w:afterAutospacing="1" w:line="240" w:lineRule="auto"/>
        <w:ind w:left="426" w:hanging="426"/>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 xml:space="preserve">Dane osobowe pozyskujemy od osoby, której </w:t>
      </w:r>
      <w:r w:rsidRPr="00BB403A">
        <w:rPr>
          <w:rFonts w:eastAsia="Times New Roman" w:cs="Times New Roman"/>
          <w:kern w:val="0"/>
          <w:sz w:val="22"/>
          <w:szCs w:val="22"/>
          <w:lang w:eastAsia="pl-PL"/>
          <w14:ligatures w14:val="none"/>
        </w:rPr>
        <w:t>dotyczą</w:t>
      </w:r>
      <w:r w:rsidRPr="00BB403A">
        <w:rPr>
          <w:rFonts w:eastAsia="Times New Roman" w:cs="Times New Roman"/>
          <w:kern w:val="0"/>
          <w:sz w:val="22"/>
          <w:szCs w:val="22"/>
          <w:lang w:eastAsia="pl-PL"/>
          <w14:ligatures w14:val="none"/>
        </w:rPr>
        <w:t xml:space="preserve"> lub z powszechnie dostępnych źródeł (rejestrów, ewidencji) w zakresie danych tam ujawnionych. Podanie danych osobowych jest dobrowolne, jednak ich niepodanie uniemożliwi zawarcie umowy sprzedaży z odroczonym terminem płatności. </w:t>
      </w:r>
    </w:p>
    <w:p w14:paraId="6436105D" w14:textId="091EABC3" w:rsidR="00BB403A" w:rsidRDefault="00BB403A" w:rsidP="00BB403A">
      <w:pPr>
        <w:numPr>
          <w:ilvl w:val="0"/>
          <w:numId w:val="3"/>
        </w:numPr>
        <w:spacing w:before="100" w:beforeAutospacing="1" w:after="100" w:afterAutospacing="1" w:line="240" w:lineRule="auto"/>
        <w:ind w:left="426" w:hanging="426"/>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 xml:space="preserve">Pani/Pana dane osobowe przetwarzane na podstawie prawnie uzasadnionego interesu Administratora (art. 6 ust. 1 lit. f RODO) będą przetwarzane do czasu realizacji celu przetwarzania lub do momentu wniesienia sprzeciwu. W przypadku wniesienia sprzeciwu zaprzestaniemy przetwarzania danych, chyba że wykażemy istnienie ważnych prawnie uzasadnionych podstaw do dalszego przetwarzania, nadrzędnych wobec interesów, praw </w:t>
      </w:r>
      <w:r>
        <w:rPr>
          <w:rFonts w:eastAsia="Times New Roman" w:cs="Times New Roman"/>
          <w:kern w:val="0"/>
          <w:sz w:val="22"/>
          <w:szCs w:val="22"/>
          <w:lang w:eastAsia="pl-PL"/>
          <w14:ligatures w14:val="none"/>
        </w:rPr>
        <w:br/>
      </w:r>
      <w:r w:rsidRPr="00BB403A">
        <w:rPr>
          <w:rFonts w:eastAsia="Times New Roman" w:cs="Times New Roman"/>
          <w:kern w:val="0"/>
          <w:sz w:val="22"/>
          <w:szCs w:val="22"/>
          <w:lang w:eastAsia="pl-PL"/>
          <w14:ligatures w14:val="none"/>
        </w:rPr>
        <w:t xml:space="preserve">i wolności osoby, której dane dotyczą, lub podstaw do ustalenia, dochodzenia lub obrony roszczeń. </w:t>
      </w:r>
    </w:p>
    <w:p w14:paraId="038353FC" w14:textId="77777777" w:rsidR="00BB403A" w:rsidRDefault="00BB403A" w:rsidP="00BB403A">
      <w:pPr>
        <w:numPr>
          <w:ilvl w:val="0"/>
          <w:numId w:val="3"/>
        </w:numPr>
        <w:spacing w:before="100" w:beforeAutospacing="1" w:after="100" w:afterAutospacing="1" w:line="240" w:lineRule="auto"/>
        <w:ind w:left="426" w:hanging="426"/>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 xml:space="preserve">Dane przetwarzane w związku z zawarciem i realizacją umowy będą przechowywane przez okres jej trwania, a następnie przez okres niezbędny do dochodzenia lub obrony roszczeń oraz wypełnienia obowiązków wynikających z przepisów prawa, w szczególności przepisów podatkowych – co do zasady przez okres do </w:t>
      </w:r>
      <w:r>
        <w:rPr>
          <w:rFonts w:eastAsia="Times New Roman" w:cs="Times New Roman"/>
          <w:kern w:val="0"/>
          <w:sz w:val="22"/>
          <w:szCs w:val="22"/>
          <w:lang w:eastAsia="pl-PL"/>
          <w14:ligatures w14:val="none"/>
        </w:rPr>
        <w:t>7</w:t>
      </w:r>
      <w:r w:rsidRPr="00BB403A">
        <w:rPr>
          <w:rFonts w:eastAsia="Times New Roman" w:cs="Times New Roman"/>
          <w:kern w:val="0"/>
          <w:sz w:val="22"/>
          <w:szCs w:val="22"/>
          <w:lang w:eastAsia="pl-PL"/>
          <w14:ligatures w14:val="none"/>
        </w:rPr>
        <w:t xml:space="preserve"> lat od zakończenia współpracy.</w:t>
      </w:r>
      <w:r>
        <w:rPr>
          <w:rFonts w:eastAsia="Times New Roman" w:cs="Times New Roman"/>
          <w:kern w:val="0"/>
          <w:sz w:val="22"/>
          <w:szCs w:val="22"/>
          <w:lang w:eastAsia="pl-PL"/>
          <w14:ligatures w14:val="none"/>
        </w:rPr>
        <w:t xml:space="preserve"> </w:t>
      </w:r>
      <w:r w:rsidRPr="00BB403A">
        <w:rPr>
          <w:rFonts w:eastAsia="Times New Roman" w:cs="Times New Roman"/>
          <w:kern w:val="0"/>
          <w:sz w:val="22"/>
          <w:szCs w:val="22"/>
          <w:lang w:eastAsia="pl-PL"/>
          <w14:ligatures w14:val="none"/>
        </w:rPr>
        <w:t>W przypadku wszczęcia postępowań (np. sądowych lub administracyjnych) okres przetwarzania danych może zostać odpowiednio przedłużony – do czasu ich prawomocnego zakończenia oraz rozliczenia.</w:t>
      </w:r>
    </w:p>
    <w:p w14:paraId="5BDF4A73" w14:textId="77777777" w:rsidR="00BB403A" w:rsidRDefault="00BB403A" w:rsidP="00BB403A">
      <w:pPr>
        <w:numPr>
          <w:ilvl w:val="0"/>
          <w:numId w:val="3"/>
        </w:numPr>
        <w:spacing w:before="100" w:beforeAutospacing="1" w:after="100" w:afterAutospacing="1" w:line="240" w:lineRule="auto"/>
        <w:ind w:left="426" w:hanging="426"/>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 xml:space="preserve">Przysługują Pani/Panu następujące prawa: prawo dostępu do danych, prawo do sprostowania danych, prawo do usunięcia danych, prawo do ograniczenia przetwarzania danych, prawo do wniesienia sprzeciwu wobec przetwarzania danych (w przypadku przetwarzania na podstawie prawnie uzasadnionego interesu Administratora), a także prawo do wniesienia skargi do Prezesa Urzędu Ochrony Danych Osobowych. </w:t>
      </w:r>
    </w:p>
    <w:p w14:paraId="3612D00D" w14:textId="77777777" w:rsidR="00BB403A" w:rsidRDefault="00BB403A" w:rsidP="00BB403A">
      <w:pPr>
        <w:numPr>
          <w:ilvl w:val="0"/>
          <w:numId w:val="3"/>
        </w:numPr>
        <w:spacing w:before="100" w:beforeAutospacing="1" w:after="100" w:afterAutospacing="1" w:line="240" w:lineRule="auto"/>
        <w:ind w:left="426" w:hanging="426"/>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lastRenderedPageBreak/>
        <w:t xml:space="preserve">Pani/Pana dane mogą być udostępniane podmiotom upoważnionym na podstawie przepisów prawa oraz podmiotom świadczącym na rzecz Administratora usługi (w szczególności IT, prawne, doradcze, finansowe, audytowe), bankom, operatorom pocztowym, firmom kurierskim, transportowym, podmiotom świadczącym usługi archiwizacji i brakowania dokumentów, ubezpieczycielom oraz spółkom z Grupy Kapitałowej KGHM Polska Miedź S.A. </w:t>
      </w:r>
    </w:p>
    <w:p w14:paraId="637203D3" w14:textId="77777777" w:rsidR="00BB403A" w:rsidRDefault="00BB403A" w:rsidP="00BB403A">
      <w:pPr>
        <w:numPr>
          <w:ilvl w:val="0"/>
          <w:numId w:val="3"/>
        </w:numPr>
        <w:spacing w:before="100" w:beforeAutospacing="1" w:after="100" w:afterAutospacing="1" w:line="240" w:lineRule="auto"/>
        <w:ind w:left="426" w:hanging="426"/>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 xml:space="preserve">W związku z korzystaniem przez Administratora lub jego kontrahentów z nowoczesnych technologii Pani/Pana dane osobowe mogą być przekazywane poza Europejski Obszar Gospodarczy (EOG), przy zastosowaniu odpowiednich zabezpieczeń wymaganych przez RODO, takich jak standardowe klauzule umowne zatwierdzone przez Komisję Europejską. Kopię zabezpieczeń można uzyskać kontaktując się z Administratorem lub Inspektorem Ochrony Danych. </w:t>
      </w:r>
    </w:p>
    <w:p w14:paraId="02894C6D" w14:textId="0E2603F2" w:rsidR="00BB403A" w:rsidRPr="00BB403A" w:rsidRDefault="00BB403A" w:rsidP="00BB403A">
      <w:pPr>
        <w:numPr>
          <w:ilvl w:val="0"/>
          <w:numId w:val="3"/>
        </w:numPr>
        <w:spacing w:before="100" w:beforeAutospacing="1" w:after="100" w:afterAutospacing="1" w:line="240" w:lineRule="auto"/>
        <w:ind w:left="426" w:hanging="426"/>
        <w:jc w:val="both"/>
        <w:rPr>
          <w:rFonts w:eastAsia="Times New Roman" w:cs="Times New Roman"/>
          <w:kern w:val="0"/>
          <w:sz w:val="22"/>
          <w:szCs w:val="22"/>
          <w:lang w:eastAsia="pl-PL"/>
          <w14:ligatures w14:val="none"/>
        </w:rPr>
      </w:pPr>
      <w:r w:rsidRPr="00BB403A">
        <w:rPr>
          <w:rFonts w:eastAsia="Times New Roman" w:cs="Times New Roman"/>
          <w:kern w:val="0"/>
          <w:sz w:val="22"/>
          <w:szCs w:val="22"/>
          <w:lang w:eastAsia="pl-PL"/>
          <w14:ligatures w14:val="none"/>
        </w:rPr>
        <w:t>W oparciu o podane dane osobowe Administrator nie podejmuje decyzji w sposób zautomatyzowany, w tym decyzji będących wynikiem profilowania (</w:t>
      </w:r>
      <w:r w:rsidRPr="00BB403A">
        <w:rPr>
          <w:rFonts w:eastAsia="Times New Roman" w:cs="Times New Roman"/>
          <w:b/>
          <w:bCs/>
          <w:kern w:val="0"/>
          <w:sz w:val="22"/>
          <w:szCs w:val="22"/>
          <w:lang w:eastAsia="pl-PL"/>
          <w14:ligatures w14:val="none"/>
        </w:rPr>
        <w:t>bez udziału człowieka</w:t>
      </w:r>
      <w:r w:rsidRPr="00BB403A">
        <w:rPr>
          <w:rFonts w:eastAsia="Times New Roman" w:cs="Times New Roman"/>
          <w:kern w:val="0"/>
          <w:sz w:val="22"/>
          <w:szCs w:val="22"/>
          <w:lang w:eastAsia="pl-PL"/>
          <w14:ligatures w14:val="none"/>
        </w:rPr>
        <w:t>).</w:t>
      </w:r>
    </w:p>
    <w:p w14:paraId="26543736" w14:textId="6A20B99F" w:rsidR="000405A9" w:rsidRPr="00BB403A" w:rsidRDefault="000405A9" w:rsidP="00BB403A">
      <w:pPr>
        <w:pStyle w:val="Akapitzlist"/>
        <w:ind w:left="426"/>
        <w:jc w:val="both"/>
        <w:rPr>
          <w:sz w:val="22"/>
          <w:szCs w:val="22"/>
        </w:rPr>
      </w:pPr>
    </w:p>
    <w:sectPr w:rsidR="000405A9" w:rsidRPr="00BB4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1ECB"/>
    <w:multiLevelType w:val="hybridMultilevel"/>
    <w:tmpl w:val="0DAA89B6"/>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 w15:restartNumberingAfterBreak="0">
    <w:nsid w:val="1F4F5948"/>
    <w:multiLevelType w:val="multilevel"/>
    <w:tmpl w:val="ABD6A8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8778E0"/>
    <w:multiLevelType w:val="hybridMultilevel"/>
    <w:tmpl w:val="ECF4162E"/>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7EBA79F0"/>
    <w:multiLevelType w:val="multilevel"/>
    <w:tmpl w:val="1A7EB84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3885404">
    <w:abstractNumId w:val="0"/>
  </w:num>
  <w:num w:numId="2" w16cid:durableId="1518499618">
    <w:abstractNumId w:val="2"/>
  </w:num>
  <w:num w:numId="3" w16cid:durableId="1234122475">
    <w:abstractNumId w:val="3"/>
  </w:num>
  <w:num w:numId="4" w16cid:durableId="1250457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6D"/>
    <w:rsid w:val="000405A9"/>
    <w:rsid w:val="002D4F8D"/>
    <w:rsid w:val="002F4EDA"/>
    <w:rsid w:val="003F1D87"/>
    <w:rsid w:val="004201A9"/>
    <w:rsid w:val="006322A3"/>
    <w:rsid w:val="007F66B0"/>
    <w:rsid w:val="00870A93"/>
    <w:rsid w:val="00BB403A"/>
    <w:rsid w:val="00BC4CEB"/>
    <w:rsid w:val="00BF5F3C"/>
    <w:rsid w:val="00C80515"/>
    <w:rsid w:val="00D04989"/>
    <w:rsid w:val="00D65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3BEB"/>
  <w15:chartTrackingRefBased/>
  <w15:docId w15:val="{FFA124A6-57ED-4F05-A3A9-4A6CD798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5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5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596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596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596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596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596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596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596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596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596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596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596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596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59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59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59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596D"/>
    <w:rPr>
      <w:rFonts w:eastAsiaTheme="majorEastAsia" w:cstheme="majorBidi"/>
      <w:color w:val="272727" w:themeColor="text1" w:themeTint="D8"/>
    </w:rPr>
  </w:style>
  <w:style w:type="paragraph" w:styleId="Tytu">
    <w:name w:val="Title"/>
    <w:basedOn w:val="Normalny"/>
    <w:next w:val="Normalny"/>
    <w:link w:val="TytuZnak"/>
    <w:uiPriority w:val="10"/>
    <w:qFormat/>
    <w:rsid w:val="00D65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59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59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59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596D"/>
    <w:pPr>
      <w:spacing w:before="160"/>
      <w:jc w:val="center"/>
    </w:pPr>
    <w:rPr>
      <w:i/>
      <w:iCs/>
      <w:color w:val="404040" w:themeColor="text1" w:themeTint="BF"/>
    </w:rPr>
  </w:style>
  <w:style w:type="character" w:customStyle="1" w:styleId="CytatZnak">
    <w:name w:val="Cytat Znak"/>
    <w:basedOn w:val="Domylnaczcionkaakapitu"/>
    <w:link w:val="Cytat"/>
    <w:uiPriority w:val="29"/>
    <w:rsid w:val="00D6596D"/>
    <w:rPr>
      <w:i/>
      <w:iCs/>
      <w:color w:val="404040" w:themeColor="text1" w:themeTint="BF"/>
    </w:rPr>
  </w:style>
  <w:style w:type="paragraph" w:styleId="Akapitzlist">
    <w:name w:val="List Paragraph"/>
    <w:basedOn w:val="Normalny"/>
    <w:uiPriority w:val="34"/>
    <w:qFormat/>
    <w:rsid w:val="00D6596D"/>
    <w:pPr>
      <w:ind w:left="720"/>
      <w:contextualSpacing/>
    </w:pPr>
  </w:style>
  <w:style w:type="character" w:styleId="Wyrnienieintensywne">
    <w:name w:val="Intense Emphasis"/>
    <w:basedOn w:val="Domylnaczcionkaakapitu"/>
    <w:uiPriority w:val="21"/>
    <w:qFormat/>
    <w:rsid w:val="00D6596D"/>
    <w:rPr>
      <w:i/>
      <w:iCs/>
      <w:color w:val="0F4761" w:themeColor="accent1" w:themeShade="BF"/>
    </w:rPr>
  </w:style>
  <w:style w:type="paragraph" w:styleId="Cytatintensywny">
    <w:name w:val="Intense Quote"/>
    <w:basedOn w:val="Normalny"/>
    <w:next w:val="Normalny"/>
    <w:link w:val="CytatintensywnyZnak"/>
    <w:uiPriority w:val="30"/>
    <w:qFormat/>
    <w:rsid w:val="00D6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596D"/>
    <w:rPr>
      <w:i/>
      <w:iCs/>
      <w:color w:val="0F4761" w:themeColor="accent1" w:themeShade="BF"/>
    </w:rPr>
  </w:style>
  <w:style w:type="character" w:styleId="Odwoanieintensywne">
    <w:name w:val="Intense Reference"/>
    <w:basedOn w:val="Domylnaczcionkaakapitu"/>
    <w:uiPriority w:val="32"/>
    <w:qFormat/>
    <w:rsid w:val="00D6596D"/>
    <w:rPr>
      <w:b/>
      <w:bCs/>
      <w:smallCaps/>
      <w:color w:val="0F4761" w:themeColor="accent1" w:themeShade="BF"/>
      <w:spacing w:val="5"/>
    </w:rPr>
  </w:style>
  <w:style w:type="paragraph" w:styleId="NormalnyWeb">
    <w:name w:val="Normal (Web)"/>
    <w:basedOn w:val="Normalny"/>
    <w:uiPriority w:val="99"/>
    <w:semiHidden/>
    <w:unhideWhenUsed/>
    <w:rsid w:val="00BB403A"/>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BB4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648</Words>
  <Characters>3893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Pasierska</dc:creator>
  <cp:keywords/>
  <dc:description/>
  <cp:lastModifiedBy>K.C.</cp:lastModifiedBy>
  <cp:revision>3</cp:revision>
  <dcterms:created xsi:type="dcterms:W3CDTF">2026-04-16T12:46:00Z</dcterms:created>
  <dcterms:modified xsi:type="dcterms:W3CDTF">2026-04-17T16:07:00Z</dcterms:modified>
</cp:coreProperties>
</file>